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9"/>
        <w:tblW w:w="10116" w:type="dxa"/>
        <w:tblLook w:val="04A0" w:firstRow="1" w:lastRow="0" w:firstColumn="1" w:lastColumn="0" w:noHBand="0" w:noVBand="1"/>
      </w:tblPr>
      <w:tblGrid>
        <w:gridCol w:w="10116"/>
      </w:tblGrid>
      <w:tr w:rsidR="004C4CB2" w:rsidRPr="00FF6AF1" w14:paraId="751397DF" w14:textId="77777777" w:rsidTr="004C4CB2">
        <w:trPr>
          <w:trHeight w:val="255"/>
        </w:trPr>
        <w:tc>
          <w:tcPr>
            <w:tcW w:w="10116" w:type="dxa"/>
            <w:tcBorders>
              <w:top w:val="nil"/>
              <w:left w:val="nil"/>
              <w:bottom w:val="nil"/>
              <w:right w:val="nil"/>
            </w:tcBorders>
            <w:shd w:val="clear" w:color="auto" w:fill="auto"/>
            <w:noWrap/>
            <w:vAlign w:val="bottom"/>
            <w:hideMark/>
          </w:tcPr>
          <w:p w14:paraId="3741DEF8" w14:textId="77777777" w:rsidR="004C4CB2" w:rsidRPr="00FF6AF1" w:rsidRDefault="004C4CB2" w:rsidP="004C4CB2">
            <w:pPr>
              <w:spacing w:after="0" w:line="240" w:lineRule="auto"/>
              <w:jc w:val="center"/>
              <w:rPr>
                <w:rFonts w:ascii="Arial" w:eastAsia="Times New Roman" w:hAnsi="Arial" w:cs="Arial"/>
                <w:b/>
                <w:sz w:val="18"/>
                <w:szCs w:val="18"/>
                <w:lang w:eastAsia="el-GR"/>
              </w:rPr>
            </w:pPr>
            <w:r w:rsidRPr="00FF6AF1">
              <w:rPr>
                <w:rFonts w:ascii="Arial" w:eastAsia="Times New Roman" w:hAnsi="Arial" w:cs="Arial"/>
                <w:b/>
                <w:sz w:val="18"/>
                <w:szCs w:val="18"/>
                <w:lang w:eastAsia="el-GR"/>
              </w:rPr>
              <w:t>ΑΛΛΗΛΕΓΓΥΗ, ΠΡΟΟΔΟΣ, ΕΥΗΜΕΡΙΑ</w:t>
            </w:r>
          </w:p>
        </w:tc>
      </w:tr>
      <w:tr w:rsidR="004C4CB2" w:rsidRPr="004C4CB2" w14:paraId="65BE78B3" w14:textId="77777777" w:rsidTr="004C4CB2">
        <w:trPr>
          <w:trHeight w:val="2115"/>
        </w:trPr>
        <w:tc>
          <w:tcPr>
            <w:tcW w:w="10116" w:type="dxa"/>
            <w:tcBorders>
              <w:top w:val="nil"/>
              <w:left w:val="nil"/>
              <w:bottom w:val="nil"/>
              <w:right w:val="nil"/>
            </w:tcBorders>
            <w:shd w:val="clear" w:color="auto" w:fill="auto"/>
            <w:noWrap/>
            <w:vAlign w:val="bottom"/>
            <w:hideMark/>
          </w:tcPr>
          <w:p w14:paraId="0BB646AB" w14:textId="77777777" w:rsidR="004C4CB2" w:rsidRPr="004C4CB2" w:rsidRDefault="00341EB2" w:rsidP="004C4CB2">
            <w:pPr>
              <w:spacing w:after="0" w:line="240" w:lineRule="auto"/>
              <w:rPr>
                <w:rFonts w:ascii="Arial" w:eastAsia="Times New Roman" w:hAnsi="Arial" w:cs="Arial"/>
                <w:sz w:val="20"/>
                <w:szCs w:val="20"/>
                <w:lang w:val="en-US" w:eastAsia="el-GR"/>
              </w:rPr>
            </w:pPr>
            <w:r>
              <w:rPr>
                <w:rFonts w:ascii="Arial" w:eastAsia="Times New Roman" w:hAnsi="Arial" w:cs="Arial"/>
                <w:noProof/>
                <w:sz w:val="20"/>
                <w:szCs w:val="20"/>
                <w:lang w:eastAsia="el-GR"/>
              </w:rPr>
              <w:drawing>
                <wp:anchor distT="0" distB="0" distL="114300" distR="114300" simplePos="0" relativeHeight="251659264" behindDoc="0" locked="0" layoutInCell="1" allowOverlap="1" wp14:anchorId="47A39435" wp14:editId="69798A72">
                  <wp:simplePos x="0" y="0"/>
                  <wp:positionH relativeFrom="column">
                    <wp:posOffset>1483995</wp:posOffset>
                  </wp:positionH>
                  <wp:positionV relativeFrom="paragraph">
                    <wp:posOffset>99060</wp:posOffset>
                  </wp:positionV>
                  <wp:extent cx="1400175" cy="838200"/>
                  <wp:effectExtent l="19050" t="0" r="9525"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400175" cy="838200"/>
                          </a:xfrm>
                          <a:prstGeom prst="rect">
                            <a:avLst/>
                          </a:prstGeom>
                          <a:noFill/>
                        </pic:spPr>
                      </pic:pic>
                    </a:graphicData>
                  </a:graphic>
                </wp:anchor>
              </w:drawing>
            </w:r>
            <w:r w:rsidR="003232EE">
              <w:rPr>
                <w:rFonts w:ascii="Arial" w:eastAsia="Times New Roman" w:hAnsi="Arial" w:cs="Arial"/>
                <w:noProof/>
                <w:sz w:val="20"/>
                <w:szCs w:val="20"/>
                <w:lang w:eastAsia="el-GR"/>
              </w:rPr>
              <w:drawing>
                <wp:anchor distT="0" distB="0" distL="114300" distR="114300" simplePos="0" relativeHeight="251656192" behindDoc="0" locked="0" layoutInCell="1" allowOverlap="1" wp14:anchorId="76C12568" wp14:editId="6AC4F97F">
                  <wp:simplePos x="0" y="0"/>
                  <wp:positionH relativeFrom="column">
                    <wp:posOffset>4732020</wp:posOffset>
                  </wp:positionH>
                  <wp:positionV relativeFrom="paragraph">
                    <wp:posOffset>108585</wp:posOffset>
                  </wp:positionV>
                  <wp:extent cx="1209675" cy="962025"/>
                  <wp:effectExtent l="19050" t="0" r="9525" b="0"/>
                  <wp:wrapNone/>
                  <wp:docPr id="12" name="Picture 4" descr="Astinomia Kyprou.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inomia Kyprou.svg">
                            <a:hlinkClick r:id="rId9"/>
                          </pic:cNvPr>
                          <pic:cNvPicPr>
                            <a:picLocks noChangeAspect="1" noChangeArrowheads="1"/>
                          </pic:cNvPicPr>
                        </pic:nvPicPr>
                        <pic:blipFill>
                          <a:blip r:embed="rId10"/>
                          <a:srcRect/>
                          <a:stretch>
                            <a:fillRect/>
                          </a:stretch>
                        </pic:blipFill>
                        <pic:spPr bwMode="auto">
                          <a:xfrm>
                            <a:off x="0" y="0"/>
                            <a:ext cx="1209675" cy="962025"/>
                          </a:xfrm>
                          <a:prstGeom prst="rect">
                            <a:avLst/>
                          </a:prstGeom>
                          <a:noFill/>
                          <a:ln w="9525">
                            <a:noFill/>
                            <a:miter lim="800000"/>
                            <a:headEnd/>
                            <a:tailEnd/>
                          </a:ln>
                        </pic:spPr>
                      </pic:pic>
                    </a:graphicData>
                  </a:graphic>
                </wp:anchor>
              </w:drawing>
            </w:r>
            <w:r w:rsidR="003232EE">
              <w:rPr>
                <w:rFonts w:ascii="Arial" w:eastAsia="Times New Roman" w:hAnsi="Arial" w:cs="Arial"/>
                <w:noProof/>
                <w:sz w:val="20"/>
                <w:szCs w:val="20"/>
                <w:lang w:eastAsia="el-GR"/>
              </w:rPr>
              <w:drawing>
                <wp:anchor distT="0" distB="0" distL="114300" distR="114300" simplePos="0" relativeHeight="251657216" behindDoc="0" locked="0" layoutInCell="1" allowOverlap="1" wp14:anchorId="21A45A93" wp14:editId="3933805C">
                  <wp:simplePos x="0" y="0"/>
                  <wp:positionH relativeFrom="column">
                    <wp:posOffset>26670</wp:posOffset>
                  </wp:positionH>
                  <wp:positionV relativeFrom="paragraph">
                    <wp:posOffset>108585</wp:posOffset>
                  </wp:positionV>
                  <wp:extent cx="1457325" cy="1133475"/>
                  <wp:effectExtent l="0" t="0" r="0" b="0"/>
                  <wp:wrapNone/>
                  <wp:docPr id="16" name="Picture 0" descr="LOGO SOLIDARITY GRE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SOLIDARITY GREEK.png"/>
                          <pic:cNvPicPr>
                            <a:picLocks noChangeAspect="1" noChangeArrowheads="1"/>
                          </pic:cNvPicPr>
                        </pic:nvPicPr>
                        <pic:blipFill>
                          <a:blip r:embed="rId11"/>
                          <a:srcRect/>
                          <a:stretch>
                            <a:fillRect/>
                          </a:stretch>
                        </pic:blipFill>
                        <pic:spPr bwMode="auto">
                          <a:xfrm>
                            <a:off x="0" y="0"/>
                            <a:ext cx="1457325" cy="1133475"/>
                          </a:xfrm>
                          <a:prstGeom prst="rect">
                            <a:avLst/>
                          </a:prstGeom>
                          <a:noFill/>
                        </pic:spPr>
                      </pic:pic>
                    </a:graphicData>
                  </a:graphic>
                </wp:anchor>
              </w:drawing>
            </w:r>
            <w:r w:rsidR="00001704">
              <w:rPr>
                <w:rFonts w:ascii="Arial" w:eastAsia="Times New Roman" w:hAnsi="Arial" w:cs="Arial"/>
                <w:noProof/>
                <w:sz w:val="20"/>
                <w:szCs w:val="20"/>
                <w:lang w:eastAsia="el-GR"/>
              </w:rPr>
              <w:drawing>
                <wp:anchor distT="0" distB="0" distL="114300" distR="114300" simplePos="0" relativeHeight="251658240" behindDoc="0" locked="0" layoutInCell="1" allowOverlap="1" wp14:anchorId="07D023CA" wp14:editId="56F9B21B">
                  <wp:simplePos x="0" y="0"/>
                  <wp:positionH relativeFrom="column">
                    <wp:posOffset>3284220</wp:posOffset>
                  </wp:positionH>
                  <wp:positionV relativeFrom="paragraph">
                    <wp:posOffset>43180</wp:posOffset>
                  </wp:positionV>
                  <wp:extent cx="1247775" cy="1238250"/>
                  <wp:effectExtent l="19050" t="0" r="9525" b="0"/>
                  <wp:wrapNone/>
                  <wp:docPr id="17" name="Picture 1" descr="Home affairs funds-logo-greek-original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ffairs funds-logo-greek-original small"/>
                          <pic:cNvPicPr>
                            <a:picLocks noChangeAspect="1" noChangeArrowheads="1"/>
                          </pic:cNvPicPr>
                        </pic:nvPicPr>
                        <pic:blipFill>
                          <a:blip r:embed="rId12"/>
                          <a:srcRect/>
                          <a:stretch>
                            <a:fillRect/>
                          </a:stretch>
                        </pic:blipFill>
                        <pic:spPr bwMode="auto">
                          <a:xfrm>
                            <a:off x="0" y="0"/>
                            <a:ext cx="1247775" cy="1238250"/>
                          </a:xfrm>
                          <a:prstGeom prst="rect">
                            <a:avLst/>
                          </a:prstGeom>
                          <a:noFill/>
                        </pic:spPr>
                      </pic:pic>
                    </a:graphicData>
                  </a:graphic>
                </wp:anchor>
              </w:drawing>
            </w:r>
          </w:p>
          <w:tbl>
            <w:tblPr>
              <w:tblW w:w="0" w:type="auto"/>
              <w:jc w:val="center"/>
              <w:tblCellSpacing w:w="0" w:type="dxa"/>
              <w:tblCellMar>
                <w:left w:w="0" w:type="dxa"/>
                <w:right w:w="0" w:type="dxa"/>
              </w:tblCellMar>
              <w:tblLook w:val="04A0" w:firstRow="1" w:lastRow="0" w:firstColumn="1" w:lastColumn="0" w:noHBand="0" w:noVBand="1"/>
            </w:tblPr>
            <w:tblGrid>
              <w:gridCol w:w="9900"/>
            </w:tblGrid>
            <w:tr w:rsidR="004C4CB2" w:rsidRPr="004C4CB2" w14:paraId="140E8A8B" w14:textId="77777777" w:rsidTr="004C4CB2">
              <w:trPr>
                <w:trHeight w:val="2115"/>
                <w:tblCellSpacing w:w="0" w:type="dxa"/>
                <w:jc w:val="center"/>
              </w:trPr>
              <w:tc>
                <w:tcPr>
                  <w:tcW w:w="9900" w:type="dxa"/>
                  <w:tcBorders>
                    <w:top w:val="nil"/>
                    <w:left w:val="nil"/>
                    <w:bottom w:val="nil"/>
                    <w:right w:val="nil"/>
                  </w:tcBorders>
                  <w:shd w:val="clear" w:color="auto" w:fill="auto"/>
                  <w:noWrap/>
                  <w:vAlign w:val="bottom"/>
                  <w:hideMark/>
                </w:tcPr>
                <w:p w14:paraId="6AC1BCF3" w14:textId="77777777" w:rsidR="004C4CB2" w:rsidRDefault="004C4CB2" w:rsidP="001561C8">
                  <w:pPr>
                    <w:framePr w:hSpace="180" w:wrap="around" w:vAnchor="text" w:hAnchor="margin" w:xAlign="center" w:y="-19"/>
                    <w:spacing w:after="0" w:line="240" w:lineRule="auto"/>
                    <w:jc w:val="center"/>
                    <w:rPr>
                      <w:rFonts w:eastAsia="Times New Roman" w:cs="Arial"/>
                      <w:lang w:val="en-US" w:eastAsia="el-GR"/>
                    </w:rPr>
                  </w:pPr>
                </w:p>
                <w:p w14:paraId="257AA446" w14:textId="77777777" w:rsidR="004C4CB2" w:rsidRDefault="004C4CB2" w:rsidP="001561C8">
                  <w:pPr>
                    <w:framePr w:hSpace="180" w:wrap="around" w:vAnchor="text" w:hAnchor="margin" w:xAlign="center" w:y="-19"/>
                    <w:spacing w:after="0" w:line="240" w:lineRule="auto"/>
                    <w:jc w:val="center"/>
                    <w:rPr>
                      <w:rFonts w:eastAsia="Times New Roman" w:cs="Arial"/>
                      <w:lang w:val="en-US" w:eastAsia="el-GR"/>
                    </w:rPr>
                  </w:pPr>
                </w:p>
                <w:p w14:paraId="6CFCDDC7" w14:textId="77777777" w:rsidR="004C4CB2" w:rsidRDefault="004C4CB2" w:rsidP="001561C8">
                  <w:pPr>
                    <w:framePr w:hSpace="180" w:wrap="around" w:vAnchor="text" w:hAnchor="margin" w:xAlign="center" w:y="-19"/>
                    <w:spacing w:after="0" w:line="240" w:lineRule="auto"/>
                    <w:jc w:val="center"/>
                    <w:rPr>
                      <w:rFonts w:eastAsia="Times New Roman" w:cs="Arial"/>
                      <w:lang w:val="en-US" w:eastAsia="el-GR"/>
                    </w:rPr>
                  </w:pPr>
                </w:p>
                <w:p w14:paraId="3BD51F04" w14:textId="77777777" w:rsidR="0057607F" w:rsidRPr="003232EE" w:rsidRDefault="00FF6AF1" w:rsidP="001561C8">
                  <w:pPr>
                    <w:framePr w:hSpace="180" w:wrap="around" w:vAnchor="text" w:hAnchor="margin" w:xAlign="center" w:y="-19"/>
                    <w:spacing w:after="0" w:line="240" w:lineRule="auto"/>
                    <w:rPr>
                      <w:rFonts w:eastAsia="Times New Roman" w:cs="Arial"/>
                      <w:lang w:eastAsia="el-GR"/>
                    </w:rPr>
                  </w:pPr>
                  <w:r>
                    <w:rPr>
                      <w:rFonts w:eastAsia="Times New Roman" w:cs="Arial"/>
                      <w:lang w:val="en-US" w:eastAsia="el-GR"/>
                    </w:rPr>
                    <w:t xml:space="preserve">                                                    </w:t>
                  </w:r>
                  <w:r w:rsidR="004C4CB2" w:rsidRPr="004C4CB2">
                    <w:rPr>
                      <w:rFonts w:eastAsia="Times New Roman" w:cs="Arial"/>
                      <w:lang w:eastAsia="el-GR"/>
                    </w:rPr>
                    <w:t>ΕΥΡΩΠΑΙΚΗ ΕΝ</w:t>
                  </w:r>
                  <w:r w:rsidR="003232EE">
                    <w:rPr>
                      <w:rFonts w:eastAsia="Times New Roman" w:cs="Arial"/>
                      <w:lang w:eastAsia="el-GR"/>
                    </w:rPr>
                    <w:t>ΩΣΗ</w:t>
                  </w:r>
                </w:p>
                <w:p w14:paraId="7A13C2E0" w14:textId="77777777" w:rsidR="0057607F" w:rsidRDefault="0057607F" w:rsidP="001561C8">
                  <w:pPr>
                    <w:framePr w:hSpace="180" w:wrap="around" w:vAnchor="text" w:hAnchor="margin" w:xAlign="center" w:y="-19"/>
                    <w:spacing w:after="0" w:line="240" w:lineRule="auto"/>
                    <w:rPr>
                      <w:rFonts w:eastAsia="Times New Roman" w:cs="Arial"/>
                      <w:lang w:val="en-US" w:eastAsia="el-GR"/>
                    </w:rPr>
                  </w:pPr>
                </w:p>
                <w:p w14:paraId="63281730" w14:textId="77777777" w:rsidR="004C4CB2" w:rsidRPr="004C4CB2" w:rsidRDefault="0057607F" w:rsidP="001561C8">
                  <w:pPr>
                    <w:framePr w:hSpace="180" w:wrap="around" w:vAnchor="text" w:hAnchor="margin" w:xAlign="center" w:y="-19"/>
                    <w:spacing w:after="0" w:line="240" w:lineRule="auto"/>
                    <w:rPr>
                      <w:rFonts w:eastAsia="Times New Roman" w:cs="Arial"/>
                      <w:lang w:eastAsia="el-GR"/>
                    </w:rPr>
                  </w:pPr>
                  <w:r>
                    <w:rPr>
                      <w:rFonts w:eastAsia="Times New Roman" w:cs="Arial"/>
                      <w:lang w:eastAsia="el-GR"/>
                    </w:rPr>
                    <w:t xml:space="preserve">                                                    </w:t>
                  </w:r>
                </w:p>
              </w:tc>
            </w:tr>
          </w:tbl>
          <w:p w14:paraId="0CE5C4E0" w14:textId="77777777" w:rsidR="004C4CB2" w:rsidRPr="004C4CB2" w:rsidRDefault="004C4CB2" w:rsidP="004C4CB2">
            <w:pPr>
              <w:spacing w:after="0" w:line="240" w:lineRule="auto"/>
              <w:rPr>
                <w:rFonts w:ascii="Arial" w:eastAsia="Times New Roman" w:hAnsi="Arial" w:cs="Arial"/>
                <w:sz w:val="20"/>
                <w:szCs w:val="20"/>
                <w:lang w:eastAsia="el-GR"/>
              </w:rPr>
            </w:pPr>
          </w:p>
        </w:tc>
      </w:tr>
    </w:tbl>
    <w:p w14:paraId="0BADB0F4" w14:textId="384272B3" w:rsidR="004101B5" w:rsidRDefault="004C4CB2" w:rsidP="004101B5">
      <w:pPr>
        <w:pStyle w:val="NormalWeb"/>
        <w:shd w:val="clear" w:color="auto" w:fill="FFFFFF"/>
        <w:spacing w:before="0" w:beforeAutospacing="0" w:after="0" w:afterAutospacing="0"/>
        <w:rPr>
          <w:color w:val="000000" w:themeColor="text1"/>
        </w:rPr>
      </w:pPr>
      <w:r>
        <w:rPr>
          <w:rFonts w:ascii="Arial" w:hAnsi="Arial" w:cs="Arial"/>
          <w:noProof/>
          <w:lang w:eastAsia="el-GR"/>
        </w:rPr>
        <w:t xml:space="preserve">  </w:t>
      </w:r>
    </w:p>
    <w:p w14:paraId="1727A7F0" w14:textId="77777777" w:rsidR="004101B5" w:rsidRDefault="004101B5" w:rsidP="004101B5">
      <w:pPr>
        <w:jc w:val="center"/>
        <w:rPr>
          <w:color w:val="000000" w:themeColor="text1"/>
          <w:sz w:val="24"/>
          <w:szCs w:val="24"/>
        </w:rPr>
      </w:pPr>
    </w:p>
    <w:p w14:paraId="49D1D6E2" w14:textId="421444C5" w:rsidR="00021107" w:rsidRDefault="00021107" w:rsidP="0060104C">
      <w:pPr>
        <w:pStyle w:val="NormalWeb"/>
        <w:pBdr>
          <w:top w:val="thickThinSmallGap" w:sz="24" w:space="1" w:color="auto"/>
          <w:left w:val="thickThinSmallGap" w:sz="24" w:space="4" w:color="auto"/>
          <w:bottom w:val="thinThickSmallGap" w:sz="24" w:space="16" w:color="auto"/>
          <w:right w:val="thinThickSmallGap" w:sz="24" w:space="12" w:color="auto"/>
        </w:pBdr>
        <w:shd w:val="clear" w:color="auto" w:fill="FFFFFF"/>
        <w:spacing w:before="0" w:beforeAutospacing="0" w:after="0" w:afterAutospacing="0" w:line="360" w:lineRule="auto"/>
        <w:ind w:left="-426"/>
        <w:jc w:val="center"/>
        <w:rPr>
          <w:rFonts w:ascii="Arial" w:eastAsia="SimSun" w:hAnsi="Arial" w:cs="Arial"/>
          <w:b/>
          <w:sz w:val="23"/>
          <w:szCs w:val="23"/>
          <w:lang w:val="el-GR" w:eastAsia="zh-CN"/>
        </w:rPr>
      </w:pPr>
      <w:r w:rsidRPr="00021107">
        <w:rPr>
          <w:rFonts w:ascii="Arial" w:eastAsia="SimSun" w:hAnsi="Arial" w:cs="Arial"/>
          <w:b/>
          <w:sz w:val="23"/>
          <w:szCs w:val="23"/>
          <w:lang w:val="el-GR" w:eastAsia="zh-CN"/>
        </w:rPr>
        <w:t>CY</w:t>
      </w:r>
      <w:r>
        <w:rPr>
          <w:rFonts w:ascii="Arial" w:eastAsia="SimSun" w:hAnsi="Arial" w:cs="Arial"/>
          <w:b/>
          <w:sz w:val="23"/>
          <w:szCs w:val="23"/>
          <w:lang w:val="el-GR" w:eastAsia="zh-CN"/>
        </w:rPr>
        <w:t>/</w:t>
      </w:r>
      <w:r w:rsidRPr="00021107">
        <w:rPr>
          <w:rFonts w:ascii="Arial" w:eastAsia="SimSun" w:hAnsi="Arial" w:cs="Arial"/>
          <w:b/>
          <w:sz w:val="23"/>
          <w:szCs w:val="23"/>
          <w:lang w:val="el-GR" w:eastAsia="zh-CN"/>
        </w:rPr>
        <w:t>2019</w:t>
      </w:r>
      <w:r>
        <w:rPr>
          <w:rFonts w:ascii="Arial" w:eastAsia="SimSun" w:hAnsi="Arial" w:cs="Arial"/>
          <w:b/>
          <w:sz w:val="23"/>
          <w:szCs w:val="23"/>
          <w:lang w:val="el-GR" w:eastAsia="zh-CN"/>
        </w:rPr>
        <w:t>/</w:t>
      </w:r>
      <w:r w:rsidRPr="00021107">
        <w:rPr>
          <w:rFonts w:ascii="Arial" w:eastAsia="SimSun" w:hAnsi="Arial" w:cs="Arial"/>
          <w:b/>
          <w:sz w:val="23"/>
          <w:szCs w:val="23"/>
          <w:lang w:val="el-GR" w:eastAsia="zh-CN"/>
        </w:rPr>
        <w:t>ISF</w:t>
      </w:r>
      <w:r>
        <w:rPr>
          <w:rFonts w:ascii="Arial" w:eastAsia="SimSun" w:hAnsi="Arial" w:cs="Arial"/>
          <w:b/>
          <w:sz w:val="23"/>
          <w:szCs w:val="23"/>
          <w:lang w:val="el-GR" w:eastAsia="zh-CN"/>
        </w:rPr>
        <w:t>/</w:t>
      </w:r>
      <w:r w:rsidRPr="00021107">
        <w:rPr>
          <w:rFonts w:ascii="Arial" w:eastAsia="SimSun" w:hAnsi="Arial" w:cs="Arial"/>
          <w:b/>
          <w:sz w:val="23"/>
          <w:szCs w:val="23"/>
          <w:lang w:val="el-GR" w:eastAsia="zh-CN"/>
        </w:rPr>
        <w:t>SO2.NO.1.1.4</w:t>
      </w:r>
    </w:p>
    <w:p w14:paraId="6366D2AA" w14:textId="1C58AA37" w:rsidR="00021107" w:rsidRPr="0060104C" w:rsidRDefault="00021107" w:rsidP="0060104C">
      <w:pPr>
        <w:pStyle w:val="NormalWeb"/>
        <w:pBdr>
          <w:top w:val="thickThinSmallGap" w:sz="24" w:space="1" w:color="auto"/>
          <w:left w:val="thickThinSmallGap" w:sz="24" w:space="4" w:color="auto"/>
          <w:bottom w:val="thinThickSmallGap" w:sz="24" w:space="16" w:color="auto"/>
          <w:right w:val="thinThickSmallGap" w:sz="24" w:space="12" w:color="auto"/>
        </w:pBdr>
        <w:shd w:val="clear" w:color="auto" w:fill="FFFFFF"/>
        <w:spacing w:before="0" w:beforeAutospacing="0" w:after="0" w:afterAutospacing="0" w:line="360" w:lineRule="auto"/>
        <w:ind w:left="-426"/>
        <w:jc w:val="center"/>
        <w:rPr>
          <w:rFonts w:ascii="Arial" w:eastAsia="SimSun" w:hAnsi="Arial" w:cs="Arial"/>
          <w:b/>
          <w:sz w:val="23"/>
          <w:szCs w:val="23"/>
          <w:lang w:val="el-GR" w:eastAsia="zh-CN"/>
        </w:rPr>
      </w:pPr>
      <w:r w:rsidRPr="00021107">
        <w:rPr>
          <w:rFonts w:ascii="Arial" w:eastAsia="SimSun" w:hAnsi="Arial" w:cs="Arial"/>
          <w:b/>
          <w:sz w:val="23"/>
          <w:szCs w:val="23"/>
          <w:lang w:val="el-GR" w:eastAsia="zh-CN"/>
        </w:rPr>
        <w:t xml:space="preserve"> Α</w:t>
      </w:r>
      <w:r w:rsidR="0055270C">
        <w:rPr>
          <w:rFonts w:ascii="Arial" w:eastAsia="SimSun" w:hAnsi="Arial" w:cs="Arial"/>
          <w:b/>
          <w:sz w:val="23"/>
          <w:szCs w:val="23"/>
          <w:lang w:val="el-GR" w:eastAsia="zh-CN"/>
        </w:rPr>
        <w:t>γ</w:t>
      </w:r>
      <w:r w:rsidRPr="00021107">
        <w:rPr>
          <w:rFonts w:ascii="Arial" w:eastAsia="SimSun" w:hAnsi="Arial" w:cs="Arial"/>
          <w:b/>
          <w:sz w:val="23"/>
          <w:szCs w:val="23"/>
          <w:lang w:val="el-GR" w:eastAsia="zh-CN"/>
        </w:rPr>
        <w:t>ορά 3 σκαφών κατηγορίας  Β΄ για τις ανάγκες της Λ</w:t>
      </w:r>
      <w:r>
        <w:rPr>
          <w:rFonts w:ascii="Arial" w:eastAsia="SimSun" w:hAnsi="Arial" w:cs="Arial"/>
          <w:b/>
          <w:sz w:val="23"/>
          <w:szCs w:val="23"/>
          <w:lang w:val="el-GR" w:eastAsia="zh-CN"/>
        </w:rPr>
        <w:t>ιμενικής και Ναυτικής Αστυνομίας</w:t>
      </w:r>
    </w:p>
    <w:p w14:paraId="29026D56" w14:textId="77777777" w:rsidR="003232EE" w:rsidRDefault="003232EE" w:rsidP="00007C22">
      <w:pPr>
        <w:pStyle w:val="NormalWeb"/>
        <w:shd w:val="clear" w:color="auto" w:fill="FFFFFF"/>
        <w:spacing w:before="0" w:beforeAutospacing="0" w:after="0" w:afterAutospacing="0"/>
        <w:ind w:left="-426"/>
        <w:rPr>
          <w:rFonts w:ascii="Arial" w:hAnsi="Arial" w:cs="Arial"/>
          <w:b/>
          <w:color w:val="000000"/>
          <w:sz w:val="23"/>
          <w:szCs w:val="23"/>
          <w:u w:val="single"/>
          <w:lang w:val="el-GR"/>
        </w:rPr>
      </w:pPr>
    </w:p>
    <w:p w14:paraId="5D293A22" w14:textId="32A75252" w:rsidR="00001704" w:rsidRPr="0055270C" w:rsidRDefault="00001704" w:rsidP="00007C22">
      <w:pPr>
        <w:pStyle w:val="NormalWeb"/>
        <w:shd w:val="clear" w:color="auto" w:fill="FFFFFF"/>
        <w:spacing w:before="0" w:beforeAutospacing="0" w:after="0" w:afterAutospacing="0"/>
        <w:ind w:left="-426"/>
        <w:rPr>
          <w:rFonts w:ascii="Arial" w:hAnsi="Arial" w:cs="Arial"/>
          <w:b/>
          <w:color w:val="000000"/>
          <w:sz w:val="22"/>
          <w:szCs w:val="22"/>
          <w:u w:val="single"/>
          <w:lang w:val="el-GR"/>
        </w:rPr>
      </w:pPr>
      <w:r w:rsidRPr="0055270C">
        <w:rPr>
          <w:rFonts w:ascii="Arial" w:hAnsi="Arial" w:cs="Arial"/>
          <w:b/>
          <w:color w:val="000000"/>
          <w:sz w:val="22"/>
          <w:szCs w:val="22"/>
          <w:u w:val="single"/>
          <w:lang w:val="el-GR"/>
        </w:rPr>
        <w:t>Ημερομηνία Υπογραφής Συμφωνίας</w:t>
      </w:r>
      <w:r w:rsidRPr="0055270C">
        <w:rPr>
          <w:rFonts w:ascii="Arial" w:hAnsi="Arial" w:cs="Arial"/>
          <w:b/>
          <w:color w:val="000000"/>
          <w:sz w:val="22"/>
          <w:szCs w:val="22"/>
          <w:lang w:val="el-GR"/>
        </w:rPr>
        <w:t xml:space="preserve">: </w:t>
      </w:r>
      <w:r w:rsidR="00021107" w:rsidRPr="0055270C">
        <w:rPr>
          <w:rFonts w:ascii="Arial" w:hAnsi="Arial" w:cs="Arial"/>
          <w:color w:val="000000"/>
          <w:sz w:val="22"/>
          <w:szCs w:val="22"/>
          <w:lang w:val="el-GR"/>
        </w:rPr>
        <w:t>02/08/2019</w:t>
      </w:r>
      <w:r w:rsidRPr="0055270C">
        <w:rPr>
          <w:rFonts w:ascii="Arial" w:hAnsi="Arial" w:cs="Arial"/>
          <w:b/>
          <w:color w:val="000000"/>
          <w:sz w:val="22"/>
          <w:szCs w:val="22"/>
          <w:lang w:val="el-GR"/>
        </w:rPr>
        <w:br/>
      </w:r>
    </w:p>
    <w:p w14:paraId="11A8058B" w14:textId="16C3F938" w:rsidR="00001704" w:rsidRPr="0055270C" w:rsidRDefault="00001704" w:rsidP="00007C22">
      <w:pPr>
        <w:pStyle w:val="NormalWeb"/>
        <w:shd w:val="clear" w:color="auto" w:fill="FFFFFF"/>
        <w:spacing w:before="0" w:beforeAutospacing="0" w:after="0" w:afterAutospacing="0"/>
        <w:ind w:left="-426"/>
        <w:rPr>
          <w:rFonts w:ascii="Arial" w:hAnsi="Arial" w:cs="Arial"/>
          <w:color w:val="000000"/>
          <w:sz w:val="22"/>
          <w:szCs w:val="22"/>
          <w:u w:val="single"/>
          <w:lang w:val="el-GR"/>
        </w:rPr>
      </w:pPr>
      <w:r w:rsidRPr="0055270C">
        <w:rPr>
          <w:rFonts w:ascii="Arial" w:hAnsi="Arial" w:cs="Arial"/>
          <w:b/>
          <w:color w:val="000000"/>
          <w:sz w:val="22"/>
          <w:szCs w:val="22"/>
          <w:u w:val="single"/>
          <w:lang w:val="el-GR"/>
        </w:rPr>
        <w:t>Χρονοδιάγραμμα έργου</w:t>
      </w:r>
      <w:r w:rsidRPr="0055270C">
        <w:rPr>
          <w:rFonts w:ascii="Arial" w:hAnsi="Arial" w:cs="Arial"/>
          <w:b/>
          <w:color w:val="000000"/>
          <w:sz w:val="22"/>
          <w:szCs w:val="22"/>
          <w:lang w:val="el-GR"/>
        </w:rPr>
        <w:t>:</w:t>
      </w:r>
      <w:r w:rsidRPr="0055270C">
        <w:rPr>
          <w:rFonts w:ascii="Arial" w:hAnsi="Arial" w:cs="Arial"/>
          <w:color w:val="000000"/>
          <w:sz w:val="22"/>
          <w:szCs w:val="22"/>
          <w:lang w:val="el-GR"/>
        </w:rPr>
        <w:t xml:space="preserve">  </w:t>
      </w:r>
      <w:r w:rsidR="00021107" w:rsidRPr="0055270C">
        <w:rPr>
          <w:rFonts w:ascii="Arial" w:hAnsi="Arial" w:cs="Arial"/>
          <w:color w:val="000000"/>
          <w:sz w:val="22"/>
          <w:szCs w:val="22"/>
          <w:lang w:val="el-GR"/>
        </w:rPr>
        <w:t>30/6/2019-31/5/2022</w:t>
      </w:r>
      <w:r w:rsidRPr="0055270C">
        <w:rPr>
          <w:rFonts w:ascii="Arial" w:hAnsi="Arial" w:cs="Arial"/>
          <w:color w:val="000000"/>
          <w:sz w:val="22"/>
          <w:szCs w:val="22"/>
          <w:lang w:val="el-GR"/>
        </w:rPr>
        <w:br/>
      </w:r>
    </w:p>
    <w:p w14:paraId="75E95B24" w14:textId="7D796E76" w:rsidR="00001704" w:rsidRPr="0055270C" w:rsidRDefault="00001704" w:rsidP="00007C22">
      <w:pPr>
        <w:pStyle w:val="NormalWeb"/>
        <w:shd w:val="clear" w:color="auto" w:fill="FFFFFF"/>
        <w:spacing w:before="0" w:beforeAutospacing="0" w:after="0" w:afterAutospacing="0"/>
        <w:ind w:left="-426"/>
        <w:rPr>
          <w:rFonts w:ascii="Arial" w:hAnsi="Arial" w:cs="Arial"/>
          <w:color w:val="000000"/>
          <w:sz w:val="22"/>
          <w:szCs w:val="22"/>
          <w:lang w:val="el-GR"/>
        </w:rPr>
      </w:pPr>
      <w:r w:rsidRPr="0055270C">
        <w:rPr>
          <w:rFonts w:ascii="Arial" w:hAnsi="Arial" w:cs="Arial"/>
          <w:b/>
          <w:color w:val="000000"/>
          <w:sz w:val="22"/>
          <w:szCs w:val="22"/>
          <w:u w:val="single"/>
          <w:lang w:val="el-GR"/>
        </w:rPr>
        <w:t>Προϋπολογισμός έργου</w:t>
      </w:r>
      <w:r w:rsidRPr="0055270C">
        <w:rPr>
          <w:rFonts w:ascii="Arial" w:hAnsi="Arial" w:cs="Arial"/>
          <w:b/>
          <w:color w:val="000000"/>
          <w:sz w:val="22"/>
          <w:szCs w:val="22"/>
          <w:lang w:val="el-GR"/>
        </w:rPr>
        <w:t xml:space="preserve">: </w:t>
      </w:r>
      <w:r w:rsidRPr="0055270C">
        <w:rPr>
          <w:rFonts w:ascii="Arial" w:hAnsi="Arial" w:cs="Arial"/>
          <w:color w:val="000000"/>
          <w:sz w:val="22"/>
          <w:szCs w:val="22"/>
          <w:lang w:val="el-GR"/>
        </w:rPr>
        <w:t xml:space="preserve"> </w:t>
      </w:r>
      <w:r w:rsidR="0055270C">
        <w:rPr>
          <w:rFonts w:ascii="Verdana" w:hAnsi="Verdana" w:cs="Arial"/>
          <w:color w:val="000000"/>
          <w:sz w:val="22"/>
          <w:szCs w:val="22"/>
          <w:lang w:val="el-GR"/>
        </w:rPr>
        <w:t>€</w:t>
      </w:r>
      <w:r w:rsidR="0055270C">
        <w:rPr>
          <w:rFonts w:ascii="Arial" w:hAnsi="Arial" w:cs="Arial"/>
          <w:color w:val="000000"/>
          <w:sz w:val="22"/>
          <w:szCs w:val="22"/>
          <w:lang w:val="el-GR"/>
        </w:rPr>
        <w:t>9.780.870</w:t>
      </w:r>
    </w:p>
    <w:p w14:paraId="145A7662" w14:textId="77777777" w:rsidR="009504D7" w:rsidRPr="0055270C" w:rsidRDefault="00001704" w:rsidP="00007C22">
      <w:pPr>
        <w:tabs>
          <w:tab w:val="left" w:pos="8931"/>
          <w:tab w:val="left" w:pos="9270"/>
        </w:tabs>
        <w:ind w:left="-426" w:right="-476"/>
        <w:contextualSpacing/>
        <w:jc w:val="both"/>
        <w:rPr>
          <w:rFonts w:ascii="Arial" w:hAnsi="Arial" w:cs="Arial"/>
          <w:b/>
        </w:rPr>
      </w:pPr>
      <w:r w:rsidRPr="0055270C">
        <w:rPr>
          <w:rFonts w:ascii="Arial" w:hAnsi="Arial" w:cs="Arial"/>
          <w:bCs/>
          <w:color w:val="000000"/>
        </w:rPr>
        <w:t xml:space="preserve">                                                                                                                                                                                                                                                                                                                           </w:t>
      </w:r>
    </w:p>
    <w:p w14:paraId="53955FB9" w14:textId="77777777" w:rsidR="00021107" w:rsidRPr="0055270C" w:rsidRDefault="009504D7" w:rsidP="00021107">
      <w:pPr>
        <w:tabs>
          <w:tab w:val="left" w:pos="8312"/>
          <w:tab w:val="left" w:pos="9270"/>
        </w:tabs>
        <w:ind w:left="-426" w:right="56"/>
        <w:jc w:val="both"/>
        <w:rPr>
          <w:rFonts w:ascii="Arial" w:hAnsi="Arial" w:cs="Arial"/>
          <w:noProof/>
        </w:rPr>
      </w:pPr>
      <w:r w:rsidRPr="0055270C">
        <w:rPr>
          <w:rFonts w:ascii="Arial" w:hAnsi="Arial" w:cs="Arial"/>
          <w:b/>
          <w:noProof/>
          <w:u w:val="single"/>
        </w:rPr>
        <w:t>Στόχος:</w:t>
      </w:r>
      <w:r w:rsidRPr="0055270C">
        <w:rPr>
          <w:rFonts w:ascii="Arial" w:hAnsi="Arial" w:cs="Arial"/>
          <w:noProof/>
        </w:rPr>
        <w:t xml:space="preserve"> </w:t>
      </w:r>
    </w:p>
    <w:p w14:paraId="2470EB7D" w14:textId="77777777" w:rsidR="00021107" w:rsidRPr="0055270C" w:rsidRDefault="00021107" w:rsidP="00021107">
      <w:pPr>
        <w:tabs>
          <w:tab w:val="left" w:pos="8312"/>
          <w:tab w:val="left" w:pos="9270"/>
        </w:tabs>
        <w:ind w:left="-426" w:right="56"/>
        <w:jc w:val="both"/>
        <w:rPr>
          <w:rFonts w:ascii="Arial" w:hAnsi="Arial" w:cs="Arial"/>
          <w:noProof/>
        </w:rPr>
      </w:pPr>
      <w:r w:rsidRPr="0055270C">
        <w:rPr>
          <w:rFonts w:ascii="Arial" w:hAnsi="Arial" w:cs="Arial"/>
          <w:lang w:eastAsia="el-GR"/>
        </w:rPr>
        <w:t>Η αποστολή της Λιμενικής και Ναυτικής Αστυνομίας, είναι η επιτήρηση των ακτών και των χωρικών υδάτων της Κυπριακής Δημοκρατίας για πρόληψη, εξιχνίαση και καταστολή του εγκλήματος, ιδιαίτερα της διακίνησης ναρκωτικών, λαθρομετανάστευσης, λαθρεμπορίου, τρομοκρατίας, διαφύλαξης των θαλάσσιων συνόρων, αλλά και παροχής βοήθειας προς το κοινό.</w:t>
      </w:r>
      <w:r w:rsidRPr="0055270C">
        <w:rPr>
          <w:rFonts w:ascii="Arial" w:hAnsi="Arial" w:cs="Arial"/>
          <w:bCs/>
          <w:color w:val="000000"/>
          <w:lang w:eastAsia="el-GR"/>
        </w:rPr>
        <w:t xml:space="preserve"> </w:t>
      </w:r>
    </w:p>
    <w:p w14:paraId="1F6AAE00" w14:textId="77777777" w:rsidR="00021107" w:rsidRPr="0055270C" w:rsidRDefault="00021107" w:rsidP="00021107">
      <w:pPr>
        <w:tabs>
          <w:tab w:val="left" w:pos="8312"/>
          <w:tab w:val="left" w:pos="9270"/>
        </w:tabs>
        <w:ind w:left="-426" w:right="56"/>
        <w:jc w:val="both"/>
        <w:rPr>
          <w:rFonts w:ascii="Arial" w:hAnsi="Arial" w:cs="Arial"/>
          <w:noProof/>
        </w:rPr>
      </w:pPr>
      <w:r w:rsidRPr="0055270C">
        <w:rPr>
          <w:rFonts w:ascii="Arial" w:hAnsi="Arial" w:cs="Arial"/>
          <w:bCs/>
          <w:color w:val="000000"/>
          <w:lang w:eastAsia="el-GR"/>
        </w:rPr>
        <w:t xml:space="preserve">Οι αυξημένες αρμοδιότητες της Λιμενικής και Ναυτικής Αστυνομίας  επιβάλλουν την ανανέωση του ναυτικού στόλου της με σκάφη, τα οποία θα ενισχύσουν τις επιχειρησιακές της ικανότητες. </w:t>
      </w:r>
    </w:p>
    <w:p w14:paraId="5E0B26D3" w14:textId="77777777" w:rsidR="00E87E1B" w:rsidRPr="0055270C" w:rsidRDefault="00021107" w:rsidP="00E87E1B">
      <w:pPr>
        <w:tabs>
          <w:tab w:val="left" w:pos="8312"/>
          <w:tab w:val="left" w:pos="9270"/>
        </w:tabs>
        <w:ind w:left="-426" w:right="56"/>
        <w:jc w:val="both"/>
        <w:rPr>
          <w:rFonts w:ascii="Arial" w:hAnsi="Arial" w:cs="Arial"/>
          <w:lang w:eastAsia="el-GR"/>
        </w:rPr>
      </w:pPr>
      <w:r w:rsidRPr="0055270C">
        <w:rPr>
          <w:rFonts w:ascii="Arial" w:hAnsi="Arial" w:cs="Arial"/>
          <w:lang w:eastAsia="el-GR"/>
        </w:rPr>
        <w:t>Στόχος του υπό αναφορά έργου είναι η αντικατάσταση των υφιστάμενων περιπολικών σκαφών Κατηγορίας Β, γεγονός που θα αυξήσει την επιχειρησιακή ικανότητα της Λιμενικής και Ναυτικής Αστυνομίας, την ασφάλεια, καθώς και τη μείωση εξόδων συντήρησης</w:t>
      </w:r>
      <w:r w:rsidR="009E4D5F" w:rsidRPr="0055270C">
        <w:rPr>
          <w:rFonts w:ascii="Arial" w:hAnsi="Arial" w:cs="Arial"/>
          <w:lang w:eastAsia="el-GR"/>
        </w:rPr>
        <w:t xml:space="preserve"> των παλαιών σκαφών. </w:t>
      </w:r>
    </w:p>
    <w:p w14:paraId="36B22512" w14:textId="25E5939D" w:rsidR="00E87E1B" w:rsidRPr="0055270C" w:rsidRDefault="00021107" w:rsidP="00E87E1B">
      <w:pPr>
        <w:tabs>
          <w:tab w:val="left" w:pos="8312"/>
          <w:tab w:val="left" w:pos="9270"/>
        </w:tabs>
        <w:ind w:left="-426" w:right="56"/>
        <w:jc w:val="both"/>
        <w:rPr>
          <w:rFonts w:ascii="Arial" w:hAnsi="Arial" w:cs="Arial"/>
          <w:noProof/>
        </w:rPr>
      </w:pPr>
      <w:r w:rsidRPr="0055270C">
        <w:rPr>
          <w:rFonts w:ascii="Arial" w:hAnsi="Arial" w:cs="Arial"/>
          <w:lang w:eastAsia="el-GR"/>
        </w:rPr>
        <w:t xml:space="preserve">Τα 3 σκάφη, κατηγορίας Β’,  θα είναι κατασκευασμένα από ναυτικού τύπου αλουμίνιο, μήκους 15-17 μέτρων και  θα είναι εξοπλισμένα με δύο μηχανές. Θα διαθέτουν επίσης σύγχρονα όργανα ναυτιλιακού, τηλεπικοινωνιακού, ηλεκτρονικού εξοπλισμού και διάσωσης. Η αναλυτική περιγραφή των νέων σκαφών </w:t>
      </w:r>
      <w:r w:rsidR="00E87E1B" w:rsidRPr="0055270C">
        <w:rPr>
          <w:rFonts w:ascii="Arial" w:hAnsi="Arial" w:cs="Arial"/>
          <w:lang w:eastAsia="el-GR"/>
        </w:rPr>
        <w:t>έχει</w:t>
      </w:r>
      <w:r w:rsidRPr="0055270C">
        <w:rPr>
          <w:rFonts w:ascii="Arial" w:hAnsi="Arial" w:cs="Arial"/>
          <w:lang w:eastAsia="el-GR"/>
        </w:rPr>
        <w:t xml:space="preserve"> ετοιμαστεί  από την Επιτροπή Προδιαγραφών που </w:t>
      </w:r>
      <w:r w:rsidR="00E87E1B" w:rsidRPr="0055270C">
        <w:rPr>
          <w:rFonts w:ascii="Arial" w:hAnsi="Arial" w:cs="Arial"/>
          <w:lang w:eastAsia="el-GR"/>
        </w:rPr>
        <w:t>έχει</w:t>
      </w:r>
      <w:r w:rsidRPr="0055270C">
        <w:rPr>
          <w:rFonts w:ascii="Arial" w:hAnsi="Arial" w:cs="Arial"/>
          <w:lang w:eastAsia="el-GR"/>
        </w:rPr>
        <w:t xml:space="preserve"> συσταθεί από τον Αρχηγό Αστυνομίας</w:t>
      </w:r>
      <w:r w:rsidR="00E87E1B" w:rsidRPr="0055270C">
        <w:rPr>
          <w:rFonts w:ascii="Arial" w:hAnsi="Arial" w:cs="Arial"/>
          <w:lang w:eastAsia="el-GR"/>
        </w:rPr>
        <w:t xml:space="preserve"> και για το θέμα έχει γίνει προκήρυξη διαγωνισμού Δημοσίων Συμβάσεων με </w:t>
      </w:r>
      <w:proofErr w:type="spellStart"/>
      <w:r w:rsidR="00E87E1B" w:rsidRPr="0055270C">
        <w:rPr>
          <w:rFonts w:ascii="Arial" w:hAnsi="Arial" w:cs="Arial"/>
          <w:lang w:eastAsia="el-GR"/>
        </w:rPr>
        <w:t>αρ</w:t>
      </w:r>
      <w:proofErr w:type="spellEnd"/>
      <w:r w:rsidR="00E87E1B" w:rsidRPr="0055270C">
        <w:rPr>
          <w:rFonts w:ascii="Arial" w:hAnsi="Arial" w:cs="Arial"/>
          <w:lang w:eastAsia="el-GR"/>
        </w:rPr>
        <w:t xml:space="preserve">. Δ.Ο.  </w:t>
      </w:r>
      <w:r w:rsidR="00C66417" w:rsidRPr="0055270C">
        <w:rPr>
          <w:rFonts w:ascii="Arial" w:hAnsi="Arial" w:cs="Arial"/>
          <w:lang w:eastAsia="el-GR"/>
        </w:rPr>
        <w:t>2/2020.</w:t>
      </w:r>
    </w:p>
    <w:p w14:paraId="148CF07F" w14:textId="77777777" w:rsidR="00E87E1B" w:rsidRPr="0055270C" w:rsidRDefault="00021107" w:rsidP="00E87E1B">
      <w:pPr>
        <w:tabs>
          <w:tab w:val="left" w:pos="8312"/>
          <w:tab w:val="left" w:pos="9270"/>
        </w:tabs>
        <w:ind w:left="-426" w:right="56"/>
        <w:jc w:val="both"/>
        <w:rPr>
          <w:rFonts w:ascii="Arial" w:hAnsi="Arial" w:cs="Arial"/>
          <w:bCs/>
          <w:color w:val="000000"/>
          <w:lang w:eastAsia="el-GR"/>
        </w:rPr>
      </w:pPr>
      <w:r w:rsidRPr="0055270C">
        <w:rPr>
          <w:rFonts w:ascii="Arial" w:hAnsi="Arial" w:cs="Arial"/>
          <w:bCs/>
          <w:color w:val="000000"/>
          <w:lang w:eastAsia="el-GR"/>
        </w:rPr>
        <w:t>Τα σκάφη θα χρησιμοποιούνται σε όλους τους ναυτικούς σταθμούς της ελεύθερης Κύπρου (</w:t>
      </w:r>
      <w:proofErr w:type="spellStart"/>
      <w:r w:rsidRPr="0055270C">
        <w:rPr>
          <w:rFonts w:ascii="Arial" w:hAnsi="Arial" w:cs="Arial"/>
          <w:bCs/>
          <w:color w:val="000000"/>
          <w:lang w:eastAsia="el-GR"/>
        </w:rPr>
        <w:t>Πρωταρά</w:t>
      </w:r>
      <w:proofErr w:type="spellEnd"/>
      <w:r w:rsidRPr="0055270C">
        <w:rPr>
          <w:rFonts w:ascii="Arial" w:hAnsi="Arial" w:cs="Arial"/>
          <w:bCs/>
          <w:color w:val="000000"/>
          <w:lang w:eastAsia="el-GR"/>
        </w:rPr>
        <w:t xml:space="preserve">, Αγία Νάπα, Κάτω Πάφο, </w:t>
      </w:r>
      <w:proofErr w:type="spellStart"/>
      <w:r w:rsidRPr="0055270C">
        <w:rPr>
          <w:rFonts w:ascii="Arial" w:hAnsi="Arial" w:cs="Arial"/>
          <w:bCs/>
          <w:color w:val="000000"/>
          <w:lang w:eastAsia="el-GR"/>
        </w:rPr>
        <w:t>Λατσί</w:t>
      </w:r>
      <w:proofErr w:type="spellEnd"/>
      <w:r w:rsidRPr="0055270C">
        <w:rPr>
          <w:rFonts w:ascii="Arial" w:hAnsi="Arial" w:cs="Arial"/>
          <w:bCs/>
          <w:color w:val="000000"/>
          <w:lang w:eastAsia="el-GR"/>
        </w:rPr>
        <w:t xml:space="preserve">, Λάρνακα και Λεμεσό) κυρίως για την επιτήρηση των συνόρων, αλλά και σε περιπτώσεις έρευνας και διάσωσης όπου απαιτείται η γρήγορη και άμεση ανταπόκριση. Τα σκάφη θα ενισχύσουν και θα αναβαθμίσουν το Εθνικό Συντονιστικό Κέντρο (ΕΣΚ) για σκοπούς συμμόρφωσης με το Ευρωπαϊκό σύστημα </w:t>
      </w:r>
      <w:proofErr w:type="spellStart"/>
      <w:r w:rsidRPr="0055270C">
        <w:rPr>
          <w:rFonts w:ascii="Arial" w:hAnsi="Arial" w:cs="Arial"/>
          <w:bCs/>
          <w:color w:val="000000"/>
          <w:lang w:eastAsia="el-GR"/>
        </w:rPr>
        <w:t>Eurosur</w:t>
      </w:r>
      <w:proofErr w:type="spellEnd"/>
      <w:r w:rsidRPr="0055270C">
        <w:rPr>
          <w:rFonts w:ascii="Arial" w:hAnsi="Arial" w:cs="Arial"/>
          <w:bCs/>
          <w:color w:val="000000"/>
          <w:lang w:eastAsia="el-GR"/>
        </w:rPr>
        <w:t xml:space="preserve"> για την επιτήρηση των </w:t>
      </w:r>
      <w:r w:rsidRPr="0055270C">
        <w:rPr>
          <w:rFonts w:ascii="Arial" w:hAnsi="Arial" w:cs="Arial"/>
          <w:bCs/>
          <w:color w:val="000000"/>
          <w:lang w:eastAsia="el-GR"/>
        </w:rPr>
        <w:lastRenderedPageBreak/>
        <w:t xml:space="preserve">συνόρων, την πρόληψη του διασυνοριακού εγκλήματος και την καταστολή της λαθρομετανάστευσης, αφού οι δράσεις αυτές συμπεριλαμβάνονται και στις προτεραιότητες της Κυπριακής Δημοκρατίας.  </w:t>
      </w:r>
    </w:p>
    <w:p w14:paraId="1D93AEAE" w14:textId="0CBF21E6" w:rsidR="00021107" w:rsidRPr="0055270C" w:rsidRDefault="00021107" w:rsidP="00E87E1B">
      <w:pPr>
        <w:tabs>
          <w:tab w:val="left" w:pos="8312"/>
          <w:tab w:val="left" w:pos="9270"/>
        </w:tabs>
        <w:ind w:left="-426" w:right="56"/>
        <w:jc w:val="both"/>
        <w:rPr>
          <w:rFonts w:ascii="Arial" w:hAnsi="Arial" w:cs="Arial"/>
          <w:noProof/>
        </w:rPr>
      </w:pPr>
      <w:r w:rsidRPr="0055270C">
        <w:rPr>
          <w:rFonts w:ascii="Arial" w:hAnsi="Arial" w:cs="Arial"/>
          <w:lang w:eastAsia="el-GR"/>
        </w:rPr>
        <w:t xml:space="preserve">Η χρηματοδότηση από το Ταμείο Εσωτερικής Ασφάλειας για την αγορά των 3 σκαφών, Κατηγορίας Β’ εγκρίθηκε στα πλαίσια </w:t>
      </w:r>
      <w:r w:rsidR="00E87E1B" w:rsidRPr="0055270C">
        <w:rPr>
          <w:rFonts w:ascii="Arial" w:hAnsi="Arial" w:cs="Arial"/>
          <w:lang w:eastAsia="el-GR"/>
        </w:rPr>
        <w:t xml:space="preserve">του Πολυετούς Προγράμματος Ταμείου Εσωτερικής Ασφάλειας – Τομέας Συνόρων 2014-2020, Εθνικό Πρόγραμμα Κυπριακής Δημοκρατίας. </w:t>
      </w:r>
    </w:p>
    <w:p w14:paraId="7BE77078" w14:textId="77777777" w:rsidR="0055270C" w:rsidRPr="0055270C" w:rsidRDefault="0055270C" w:rsidP="0055270C">
      <w:pPr>
        <w:pStyle w:val="NormalWeb"/>
        <w:shd w:val="clear" w:color="auto" w:fill="FFFFFF"/>
        <w:spacing w:before="0" w:beforeAutospacing="0" w:after="0" w:afterAutospacing="0"/>
        <w:ind w:left="-426"/>
        <w:jc w:val="both"/>
        <w:rPr>
          <w:rFonts w:ascii="Arial" w:hAnsi="Arial" w:cs="Arial"/>
          <w:b/>
          <w:bCs/>
          <w:color w:val="000000"/>
          <w:sz w:val="22"/>
          <w:szCs w:val="22"/>
          <w:lang w:val="el-GR"/>
        </w:rPr>
      </w:pPr>
    </w:p>
    <w:p w14:paraId="78D2A01B" w14:textId="77777777" w:rsidR="0055270C" w:rsidRPr="0055270C" w:rsidRDefault="0055270C" w:rsidP="0055270C">
      <w:pPr>
        <w:pStyle w:val="NormalWeb"/>
        <w:shd w:val="clear" w:color="auto" w:fill="FFFFFF"/>
        <w:spacing w:before="0" w:beforeAutospacing="0" w:after="0" w:afterAutospacing="0"/>
        <w:ind w:left="-426"/>
        <w:jc w:val="both"/>
        <w:rPr>
          <w:rFonts w:ascii="Arial" w:hAnsi="Arial" w:cs="Arial"/>
          <w:color w:val="000000"/>
          <w:sz w:val="22"/>
          <w:szCs w:val="22"/>
          <w:lang w:val="el-GR"/>
        </w:rPr>
      </w:pPr>
      <w:r w:rsidRPr="0055270C">
        <w:rPr>
          <w:rFonts w:ascii="Arial" w:hAnsi="Arial" w:cs="Arial"/>
          <w:b/>
          <w:bCs/>
          <w:color w:val="000000"/>
          <w:sz w:val="22"/>
          <w:szCs w:val="22"/>
          <w:lang w:val="el-GR"/>
        </w:rPr>
        <w:t>Το έργο συγχρηματοδοτείται κατά 90% από το Ταμείο Εσωτερικής Ασφάλειας της ΕΕ και κατά 10% από την Κυπριακή Δημοκρατία.</w:t>
      </w:r>
    </w:p>
    <w:p w14:paraId="43551708" w14:textId="77777777" w:rsidR="0055270C" w:rsidRPr="0055270C" w:rsidRDefault="0055270C" w:rsidP="0055270C">
      <w:pPr>
        <w:tabs>
          <w:tab w:val="left" w:pos="8312"/>
          <w:tab w:val="left" w:pos="9270"/>
        </w:tabs>
        <w:ind w:left="-426" w:right="-477"/>
        <w:jc w:val="both"/>
        <w:rPr>
          <w:rFonts w:ascii="Arial" w:hAnsi="Arial" w:cs="Arial"/>
          <w:bCs/>
          <w:color w:val="000000"/>
        </w:rPr>
      </w:pPr>
    </w:p>
    <w:p w14:paraId="3261650D" w14:textId="77777777" w:rsidR="0055270C" w:rsidRPr="0055270C" w:rsidRDefault="0055270C" w:rsidP="0055270C">
      <w:pPr>
        <w:tabs>
          <w:tab w:val="left" w:pos="9072"/>
        </w:tabs>
        <w:ind w:left="-426" w:right="-619"/>
        <w:jc w:val="both"/>
        <w:rPr>
          <w:rFonts w:ascii="Arial" w:hAnsi="Arial" w:cs="Arial"/>
          <w:noProof/>
          <w:lang w:eastAsia="el-GR"/>
        </w:rPr>
      </w:pPr>
    </w:p>
    <w:p w14:paraId="5D6E60B6" w14:textId="77777777" w:rsidR="0055270C" w:rsidRPr="0055270C" w:rsidRDefault="0055270C" w:rsidP="0055270C">
      <w:pPr>
        <w:rPr>
          <w:rFonts w:ascii="Arial" w:hAnsi="Arial" w:cs="Arial"/>
        </w:rPr>
      </w:pPr>
    </w:p>
    <w:p w14:paraId="0A23833F" w14:textId="77777777" w:rsidR="00001704" w:rsidRPr="0055270C" w:rsidRDefault="00001704" w:rsidP="00007C22">
      <w:pPr>
        <w:pStyle w:val="NormalWeb"/>
        <w:shd w:val="clear" w:color="auto" w:fill="FFFFFF"/>
        <w:spacing w:before="0" w:beforeAutospacing="0" w:after="0" w:afterAutospacing="0"/>
        <w:ind w:left="-426"/>
        <w:jc w:val="both"/>
        <w:rPr>
          <w:rFonts w:ascii="Arial" w:hAnsi="Arial" w:cs="Arial"/>
          <w:b/>
          <w:bCs/>
          <w:color w:val="000000"/>
          <w:sz w:val="22"/>
          <w:szCs w:val="22"/>
          <w:lang w:val="el-GR"/>
        </w:rPr>
      </w:pPr>
    </w:p>
    <w:sectPr w:rsidR="00001704" w:rsidRPr="0055270C" w:rsidSect="00007C22">
      <w:headerReference w:type="default" r:id="rId13"/>
      <w:pgSz w:w="11906" w:h="16838"/>
      <w:pgMar w:top="993" w:right="1133" w:bottom="993" w:left="1797" w:header="13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F694" w14:textId="77777777" w:rsidR="00D511DB" w:rsidRDefault="00D511DB" w:rsidP="008B04AB">
      <w:pPr>
        <w:spacing w:after="0" w:line="240" w:lineRule="auto"/>
      </w:pPr>
      <w:r>
        <w:separator/>
      </w:r>
    </w:p>
  </w:endnote>
  <w:endnote w:type="continuationSeparator" w:id="0">
    <w:p w14:paraId="7B9265F5" w14:textId="77777777" w:rsidR="00D511DB" w:rsidRDefault="00D511DB" w:rsidP="008B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12D22" w14:textId="77777777" w:rsidR="00D511DB" w:rsidRDefault="00D511DB" w:rsidP="008B04AB">
      <w:pPr>
        <w:spacing w:after="0" w:line="240" w:lineRule="auto"/>
      </w:pPr>
      <w:r>
        <w:separator/>
      </w:r>
    </w:p>
  </w:footnote>
  <w:footnote w:type="continuationSeparator" w:id="0">
    <w:p w14:paraId="3BC2E8E1" w14:textId="77777777" w:rsidR="00D511DB" w:rsidRDefault="00D511DB" w:rsidP="008B0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C970" w14:textId="77777777" w:rsidR="00FC5086" w:rsidRDefault="00FC5086">
    <w:pPr>
      <w:pStyle w:val="Header"/>
      <w:rPr>
        <w:b/>
        <w:sz w:val="24"/>
        <w:szCs w:val="24"/>
      </w:rPr>
    </w:pPr>
  </w:p>
  <w:p w14:paraId="51A18E33" w14:textId="77777777" w:rsidR="00FC5086" w:rsidRDefault="00FC5086" w:rsidP="00166A5B">
    <w:pPr>
      <w:pStyle w:val="Header"/>
      <w:jc w:val="center"/>
      <w:rPr>
        <w:b/>
        <w:sz w:val="24"/>
        <w:szCs w:val="24"/>
      </w:rPr>
    </w:pPr>
    <w:r w:rsidRPr="008B04AB">
      <w:rPr>
        <w:b/>
        <w:sz w:val="24"/>
        <w:szCs w:val="24"/>
      </w:rPr>
      <w:t xml:space="preserve">Η ΔΡΑΣΗ ΣΥΓΧΡΗΜΑΤΟΔΟΤΕΙΤΑΙ ΑΠΟ ΤΟ </w:t>
    </w:r>
    <w:r>
      <w:rPr>
        <w:b/>
        <w:sz w:val="24"/>
        <w:szCs w:val="24"/>
      </w:rPr>
      <w:t xml:space="preserve">ΤΑΜΕΙΟ ΕΣΩΤΕΡΙΚΗΣ ΑΣΦΑΛΕΙΑΣ </w:t>
    </w:r>
  </w:p>
  <w:p w14:paraId="3DD9236D" w14:textId="77777777" w:rsidR="00FC5086" w:rsidRPr="008B04AB" w:rsidRDefault="00FC5086" w:rsidP="00166A5B">
    <w:pPr>
      <w:pStyle w:val="Header"/>
      <w:jc w:val="center"/>
      <w:rPr>
        <w:b/>
        <w:sz w:val="24"/>
        <w:szCs w:val="24"/>
      </w:rPr>
    </w:pPr>
    <w:r>
      <w:rPr>
        <w:b/>
        <w:sz w:val="24"/>
        <w:szCs w:val="24"/>
      </w:rPr>
      <w:t>ΤΟΜΕΑΣ ΑΣΤΥΝΟΜΙΚΗΣ ΣΥΝΕΡΓΑΣΙΑΣ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19C"/>
    <w:multiLevelType w:val="hybridMultilevel"/>
    <w:tmpl w:val="1F80BC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5314C58"/>
    <w:multiLevelType w:val="hybridMultilevel"/>
    <w:tmpl w:val="6E2268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C0420DF"/>
    <w:multiLevelType w:val="hybridMultilevel"/>
    <w:tmpl w:val="A3906C92"/>
    <w:lvl w:ilvl="0" w:tplc="76D2D0AA">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3" w15:restartNumberingAfterBreak="0">
    <w:nsid w:val="0E532B38"/>
    <w:multiLevelType w:val="hybridMultilevel"/>
    <w:tmpl w:val="2934110E"/>
    <w:lvl w:ilvl="0" w:tplc="9C8E5F46">
      <w:start w:val="1"/>
      <w:numFmt w:val="decimal"/>
      <w:lvlText w:val="%1)"/>
      <w:lvlJc w:val="left"/>
      <w:pPr>
        <w:ind w:left="360" w:hanging="360"/>
      </w:pPr>
      <w:rPr>
        <w:rFonts w:ascii="Arial" w:eastAsia="Calibri"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40417D2"/>
    <w:multiLevelType w:val="hybridMultilevel"/>
    <w:tmpl w:val="4D9831A4"/>
    <w:lvl w:ilvl="0" w:tplc="A670AD84">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5" w15:restartNumberingAfterBreak="0">
    <w:nsid w:val="18C45C9D"/>
    <w:multiLevelType w:val="hybridMultilevel"/>
    <w:tmpl w:val="D7D6B7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8737C14"/>
    <w:multiLevelType w:val="hybridMultilevel"/>
    <w:tmpl w:val="18D4C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D973735"/>
    <w:multiLevelType w:val="hybridMultilevel"/>
    <w:tmpl w:val="C6FE83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71D1923"/>
    <w:multiLevelType w:val="hybridMultilevel"/>
    <w:tmpl w:val="A69C25B6"/>
    <w:lvl w:ilvl="0" w:tplc="9DC03CCC">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9" w15:restartNumberingAfterBreak="0">
    <w:nsid w:val="3C68170A"/>
    <w:multiLevelType w:val="hybridMultilevel"/>
    <w:tmpl w:val="875403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6817E6C"/>
    <w:multiLevelType w:val="hybridMultilevel"/>
    <w:tmpl w:val="B37043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48D31A44"/>
    <w:multiLevelType w:val="hybridMultilevel"/>
    <w:tmpl w:val="564070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14764A7"/>
    <w:multiLevelType w:val="hybridMultilevel"/>
    <w:tmpl w:val="38A6A32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4FC021B"/>
    <w:multiLevelType w:val="hybridMultilevel"/>
    <w:tmpl w:val="F83474A0"/>
    <w:lvl w:ilvl="0" w:tplc="89085B6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4" w15:restartNumberingAfterBreak="0">
    <w:nsid w:val="56A4162E"/>
    <w:multiLevelType w:val="hybridMultilevel"/>
    <w:tmpl w:val="BA8AF914"/>
    <w:lvl w:ilvl="0" w:tplc="3620ECC4">
      <w:start w:val="1"/>
      <w:numFmt w:val="decimal"/>
      <w:lvlText w:val="%1)"/>
      <w:lvlJc w:val="left"/>
      <w:pPr>
        <w:ind w:left="153" w:hanging="360"/>
      </w:pPr>
      <w:rPr>
        <w:rFonts w:hint="default"/>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5" w15:restartNumberingAfterBreak="0">
    <w:nsid w:val="76F31277"/>
    <w:multiLevelType w:val="hybridMultilevel"/>
    <w:tmpl w:val="61624C60"/>
    <w:lvl w:ilvl="0" w:tplc="3D4A98B8">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6" w15:restartNumberingAfterBreak="0">
    <w:nsid w:val="7C7C7ED4"/>
    <w:multiLevelType w:val="hybridMultilevel"/>
    <w:tmpl w:val="FC1679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7DDB0AD7"/>
    <w:multiLevelType w:val="hybridMultilevel"/>
    <w:tmpl w:val="A4085CA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7F152F49"/>
    <w:multiLevelType w:val="hybridMultilevel"/>
    <w:tmpl w:val="6E68E7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426925441">
    <w:abstractNumId w:val="16"/>
  </w:num>
  <w:num w:numId="2" w16cid:durableId="46344587">
    <w:abstractNumId w:val="0"/>
  </w:num>
  <w:num w:numId="3" w16cid:durableId="850995109">
    <w:abstractNumId w:val="12"/>
  </w:num>
  <w:num w:numId="4" w16cid:durableId="1616473879">
    <w:abstractNumId w:val="5"/>
  </w:num>
  <w:num w:numId="5" w16cid:durableId="986788619">
    <w:abstractNumId w:val="11"/>
  </w:num>
  <w:num w:numId="6" w16cid:durableId="950478032">
    <w:abstractNumId w:val="7"/>
  </w:num>
  <w:num w:numId="7" w16cid:durableId="415173909">
    <w:abstractNumId w:val="17"/>
  </w:num>
  <w:num w:numId="8" w16cid:durableId="1638342725">
    <w:abstractNumId w:val="18"/>
  </w:num>
  <w:num w:numId="9" w16cid:durableId="1735808395">
    <w:abstractNumId w:val="1"/>
  </w:num>
  <w:num w:numId="10" w16cid:durableId="374352604">
    <w:abstractNumId w:val="6"/>
  </w:num>
  <w:num w:numId="11" w16cid:durableId="1795366386">
    <w:abstractNumId w:val="9"/>
  </w:num>
  <w:num w:numId="12" w16cid:durableId="1926456863">
    <w:abstractNumId w:val="8"/>
  </w:num>
  <w:num w:numId="13" w16cid:durableId="1462730556">
    <w:abstractNumId w:val="2"/>
  </w:num>
  <w:num w:numId="14" w16cid:durableId="525295551">
    <w:abstractNumId w:val="14"/>
  </w:num>
  <w:num w:numId="15" w16cid:durableId="1886796972">
    <w:abstractNumId w:val="4"/>
  </w:num>
  <w:num w:numId="16" w16cid:durableId="1766655677">
    <w:abstractNumId w:val="13"/>
  </w:num>
  <w:num w:numId="17" w16cid:durableId="1119228068">
    <w:abstractNumId w:val="3"/>
  </w:num>
  <w:num w:numId="18" w16cid:durableId="1399209032">
    <w:abstractNumId w:val="15"/>
  </w:num>
  <w:num w:numId="19" w16cid:durableId="3550784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4BD"/>
    <w:rsid w:val="00001704"/>
    <w:rsid w:val="00007C22"/>
    <w:rsid w:val="00021107"/>
    <w:rsid w:val="000470C7"/>
    <w:rsid w:val="000612D8"/>
    <w:rsid w:val="00095D74"/>
    <w:rsid w:val="000976F2"/>
    <w:rsid w:val="000B4372"/>
    <w:rsid w:val="000B58AC"/>
    <w:rsid w:val="000C65EC"/>
    <w:rsid w:val="000D730C"/>
    <w:rsid w:val="000E44FA"/>
    <w:rsid w:val="000E7EAB"/>
    <w:rsid w:val="00107DE5"/>
    <w:rsid w:val="001126B3"/>
    <w:rsid w:val="00125152"/>
    <w:rsid w:val="00125E03"/>
    <w:rsid w:val="001561C8"/>
    <w:rsid w:val="00166A5B"/>
    <w:rsid w:val="00181E08"/>
    <w:rsid w:val="001865C6"/>
    <w:rsid w:val="001C484F"/>
    <w:rsid w:val="001E0410"/>
    <w:rsid w:val="001E7A1B"/>
    <w:rsid w:val="001F158D"/>
    <w:rsid w:val="00282474"/>
    <w:rsid w:val="002C485E"/>
    <w:rsid w:val="002E0BCB"/>
    <w:rsid w:val="002F3909"/>
    <w:rsid w:val="002F3D3F"/>
    <w:rsid w:val="003232EE"/>
    <w:rsid w:val="00323DAD"/>
    <w:rsid w:val="00341EB2"/>
    <w:rsid w:val="003541EA"/>
    <w:rsid w:val="00380923"/>
    <w:rsid w:val="00393205"/>
    <w:rsid w:val="003A051B"/>
    <w:rsid w:val="003E4F81"/>
    <w:rsid w:val="003E67D5"/>
    <w:rsid w:val="003F3434"/>
    <w:rsid w:val="003F5FC6"/>
    <w:rsid w:val="003F7E3D"/>
    <w:rsid w:val="004101B5"/>
    <w:rsid w:val="00410661"/>
    <w:rsid w:val="00420C53"/>
    <w:rsid w:val="00423431"/>
    <w:rsid w:val="004274DD"/>
    <w:rsid w:val="004700E4"/>
    <w:rsid w:val="00475CE3"/>
    <w:rsid w:val="004B7ABE"/>
    <w:rsid w:val="004C4CB2"/>
    <w:rsid w:val="004C7A24"/>
    <w:rsid w:val="004D3111"/>
    <w:rsid w:val="004E165A"/>
    <w:rsid w:val="00532304"/>
    <w:rsid w:val="00535037"/>
    <w:rsid w:val="0055270C"/>
    <w:rsid w:val="00552B74"/>
    <w:rsid w:val="005559CF"/>
    <w:rsid w:val="00556E63"/>
    <w:rsid w:val="0057607F"/>
    <w:rsid w:val="00592814"/>
    <w:rsid w:val="005938CD"/>
    <w:rsid w:val="005A64DF"/>
    <w:rsid w:val="005B752A"/>
    <w:rsid w:val="005D030C"/>
    <w:rsid w:val="005D1434"/>
    <w:rsid w:val="005D4288"/>
    <w:rsid w:val="005D735A"/>
    <w:rsid w:val="005E5AD6"/>
    <w:rsid w:val="0060104C"/>
    <w:rsid w:val="00606656"/>
    <w:rsid w:val="00667CDC"/>
    <w:rsid w:val="006768D6"/>
    <w:rsid w:val="0069194C"/>
    <w:rsid w:val="006A423A"/>
    <w:rsid w:val="006A4DB9"/>
    <w:rsid w:val="006B7A1B"/>
    <w:rsid w:val="006C6932"/>
    <w:rsid w:val="006E001F"/>
    <w:rsid w:val="006F25B6"/>
    <w:rsid w:val="00707E46"/>
    <w:rsid w:val="00723538"/>
    <w:rsid w:val="007370DC"/>
    <w:rsid w:val="00752135"/>
    <w:rsid w:val="0075571E"/>
    <w:rsid w:val="0076541D"/>
    <w:rsid w:val="007768DA"/>
    <w:rsid w:val="007867AD"/>
    <w:rsid w:val="007A696D"/>
    <w:rsid w:val="007A6D19"/>
    <w:rsid w:val="007A73C3"/>
    <w:rsid w:val="007B7CA7"/>
    <w:rsid w:val="007C4A16"/>
    <w:rsid w:val="007C52EF"/>
    <w:rsid w:val="007F14BD"/>
    <w:rsid w:val="008423F4"/>
    <w:rsid w:val="00854CA9"/>
    <w:rsid w:val="00867CCF"/>
    <w:rsid w:val="0089246A"/>
    <w:rsid w:val="008A3369"/>
    <w:rsid w:val="008B04AB"/>
    <w:rsid w:val="008B40EE"/>
    <w:rsid w:val="008B7012"/>
    <w:rsid w:val="008C0000"/>
    <w:rsid w:val="008C6375"/>
    <w:rsid w:val="008F07CB"/>
    <w:rsid w:val="008F4237"/>
    <w:rsid w:val="009037EA"/>
    <w:rsid w:val="009504D7"/>
    <w:rsid w:val="00956737"/>
    <w:rsid w:val="00982747"/>
    <w:rsid w:val="009858D1"/>
    <w:rsid w:val="0099095A"/>
    <w:rsid w:val="00993996"/>
    <w:rsid w:val="009B09F3"/>
    <w:rsid w:val="009B4918"/>
    <w:rsid w:val="009B65B6"/>
    <w:rsid w:val="009B6835"/>
    <w:rsid w:val="009C26D9"/>
    <w:rsid w:val="009D7B3F"/>
    <w:rsid w:val="009E4D5F"/>
    <w:rsid w:val="00A155F6"/>
    <w:rsid w:val="00A2276B"/>
    <w:rsid w:val="00A53E8B"/>
    <w:rsid w:val="00A63887"/>
    <w:rsid w:val="00A924B5"/>
    <w:rsid w:val="00AB0375"/>
    <w:rsid w:val="00AC4184"/>
    <w:rsid w:val="00AF25EE"/>
    <w:rsid w:val="00B04094"/>
    <w:rsid w:val="00B061E5"/>
    <w:rsid w:val="00B76FDF"/>
    <w:rsid w:val="00BC2C13"/>
    <w:rsid w:val="00BE27E2"/>
    <w:rsid w:val="00C06128"/>
    <w:rsid w:val="00C27B75"/>
    <w:rsid w:val="00C52008"/>
    <w:rsid w:val="00C66417"/>
    <w:rsid w:val="00C67F64"/>
    <w:rsid w:val="00C77934"/>
    <w:rsid w:val="00CA4D01"/>
    <w:rsid w:val="00CC3169"/>
    <w:rsid w:val="00CC5F60"/>
    <w:rsid w:val="00CD4437"/>
    <w:rsid w:val="00CE45D5"/>
    <w:rsid w:val="00CE7BBB"/>
    <w:rsid w:val="00D04F9F"/>
    <w:rsid w:val="00D15BB6"/>
    <w:rsid w:val="00D25090"/>
    <w:rsid w:val="00D511DB"/>
    <w:rsid w:val="00D62D73"/>
    <w:rsid w:val="00D72499"/>
    <w:rsid w:val="00D8674C"/>
    <w:rsid w:val="00DB1B0F"/>
    <w:rsid w:val="00DD73F8"/>
    <w:rsid w:val="00DE3A86"/>
    <w:rsid w:val="00DF5A5A"/>
    <w:rsid w:val="00E06291"/>
    <w:rsid w:val="00E13836"/>
    <w:rsid w:val="00E1725D"/>
    <w:rsid w:val="00E22215"/>
    <w:rsid w:val="00E30AA1"/>
    <w:rsid w:val="00E4580F"/>
    <w:rsid w:val="00E508B2"/>
    <w:rsid w:val="00E65312"/>
    <w:rsid w:val="00E7520B"/>
    <w:rsid w:val="00E87E1B"/>
    <w:rsid w:val="00EA42A1"/>
    <w:rsid w:val="00EB4B86"/>
    <w:rsid w:val="00EB6086"/>
    <w:rsid w:val="00EC70F8"/>
    <w:rsid w:val="00ED08A1"/>
    <w:rsid w:val="00EF4F54"/>
    <w:rsid w:val="00EF6F5A"/>
    <w:rsid w:val="00F05849"/>
    <w:rsid w:val="00F8540C"/>
    <w:rsid w:val="00F869FA"/>
    <w:rsid w:val="00FA24BF"/>
    <w:rsid w:val="00FB066D"/>
    <w:rsid w:val="00FC5086"/>
    <w:rsid w:val="00FD568D"/>
    <w:rsid w:val="00FD5BEC"/>
    <w:rsid w:val="00FE1A11"/>
    <w:rsid w:val="00FE7AFF"/>
    <w:rsid w:val="00FF0B11"/>
    <w:rsid w:val="00FF6AF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8DA9C"/>
  <w15:docId w15:val="{E6258B36-C41E-4165-A19B-52D2E9E1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1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0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52008"/>
    <w:pPr>
      <w:ind w:left="720"/>
      <w:contextualSpacing/>
    </w:pPr>
  </w:style>
  <w:style w:type="paragraph" w:styleId="Header">
    <w:name w:val="header"/>
    <w:basedOn w:val="Normal"/>
    <w:link w:val="HeaderChar"/>
    <w:uiPriority w:val="99"/>
    <w:unhideWhenUsed/>
    <w:rsid w:val="008B04AB"/>
    <w:pPr>
      <w:tabs>
        <w:tab w:val="center" w:pos="4153"/>
        <w:tab w:val="right" w:pos="8306"/>
      </w:tabs>
    </w:pPr>
  </w:style>
  <w:style w:type="character" w:customStyle="1" w:styleId="HeaderChar">
    <w:name w:val="Header Char"/>
    <w:basedOn w:val="DefaultParagraphFont"/>
    <w:link w:val="Header"/>
    <w:uiPriority w:val="99"/>
    <w:rsid w:val="008B04AB"/>
    <w:rPr>
      <w:sz w:val="22"/>
      <w:szCs w:val="22"/>
      <w:lang w:eastAsia="en-US"/>
    </w:rPr>
  </w:style>
  <w:style w:type="paragraph" w:styleId="Footer">
    <w:name w:val="footer"/>
    <w:basedOn w:val="Normal"/>
    <w:link w:val="FooterChar"/>
    <w:uiPriority w:val="99"/>
    <w:unhideWhenUsed/>
    <w:rsid w:val="008B04AB"/>
    <w:pPr>
      <w:tabs>
        <w:tab w:val="center" w:pos="4153"/>
        <w:tab w:val="right" w:pos="8306"/>
      </w:tabs>
    </w:pPr>
  </w:style>
  <w:style w:type="character" w:customStyle="1" w:styleId="FooterChar">
    <w:name w:val="Footer Char"/>
    <w:basedOn w:val="DefaultParagraphFont"/>
    <w:link w:val="Footer"/>
    <w:uiPriority w:val="99"/>
    <w:rsid w:val="008B04AB"/>
    <w:rPr>
      <w:sz w:val="22"/>
      <w:szCs w:val="22"/>
      <w:lang w:eastAsia="en-US"/>
    </w:rPr>
  </w:style>
  <w:style w:type="paragraph" w:styleId="BalloonText">
    <w:name w:val="Balloon Text"/>
    <w:basedOn w:val="Normal"/>
    <w:link w:val="BalloonTextChar"/>
    <w:uiPriority w:val="99"/>
    <w:semiHidden/>
    <w:unhideWhenUsed/>
    <w:rsid w:val="0012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152"/>
    <w:rPr>
      <w:rFonts w:ascii="Tahoma" w:hAnsi="Tahoma" w:cs="Tahoma"/>
      <w:sz w:val="16"/>
      <w:szCs w:val="16"/>
      <w:lang w:eastAsia="en-US"/>
    </w:rPr>
  </w:style>
  <w:style w:type="paragraph" w:styleId="NormalWeb">
    <w:name w:val="Normal (Web)"/>
    <w:basedOn w:val="Normal"/>
    <w:uiPriority w:val="99"/>
    <w:unhideWhenUsed/>
    <w:rsid w:val="006A4DB9"/>
    <w:pPr>
      <w:spacing w:before="100" w:beforeAutospacing="1" w:after="100" w:afterAutospacing="1" w:line="240" w:lineRule="auto"/>
    </w:pPr>
    <w:rPr>
      <w:rFonts w:ascii="Times New Roman" w:eastAsia="Times New Roman" w:hAnsi="Times New Roman"/>
      <w:sz w:val="24"/>
      <w:szCs w:val="24"/>
      <w:lang w:val="en-US"/>
    </w:rPr>
  </w:style>
  <w:style w:type="paragraph" w:styleId="BlockText">
    <w:name w:val="Block Text"/>
    <w:basedOn w:val="Normal"/>
    <w:uiPriority w:val="99"/>
    <w:semiHidden/>
    <w:unhideWhenUsed/>
    <w:rsid w:val="001865C6"/>
    <w:pPr>
      <w:tabs>
        <w:tab w:val="left" w:pos="540"/>
      </w:tabs>
      <w:spacing w:after="0" w:line="240" w:lineRule="auto"/>
      <w:ind w:left="-180" w:right="224"/>
      <w:jc w:val="both"/>
    </w:pPr>
    <w:rPr>
      <w:rFonts w:ascii="Bookman Old Style" w:eastAsia="Times New Roman" w:hAnsi="Bookman Old Style"/>
      <w:bCs/>
      <w:sz w:val="24"/>
      <w:szCs w:val="20"/>
    </w:rPr>
  </w:style>
  <w:style w:type="paragraph" w:styleId="CommentText">
    <w:name w:val="annotation text"/>
    <w:basedOn w:val="Normal"/>
    <w:link w:val="CommentTextChar"/>
    <w:uiPriority w:val="99"/>
    <w:semiHidden/>
    <w:unhideWhenUsed/>
    <w:rsid w:val="00021107"/>
    <w:rPr>
      <w:rFonts w:eastAsia="Times New Roman"/>
      <w:sz w:val="20"/>
      <w:szCs w:val="20"/>
      <w:lang w:val="en-US"/>
    </w:rPr>
  </w:style>
  <w:style w:type="character" w:customStyle="1" w:styleId="CommentTextChar">
    <w:name w:val="Comment Text Char"/>
    <w:basedOn w:val="DefaultParagraphFont"/>
    <w:link w:val="CommentText"/>
    <w:uiPriority w:val="99"/>
    <w:semiHidden/>
    <w:rsid w:val="00021107"/>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972566">
      <w:bodyDiv w:val="1"/>
      <w:marLeft w:val="0"/>
      <w:marRight w:val="0"/>
      <w:marTop w:val="0"/>
      <w:marBottom w:val="0"/>
      <w:divBdr>
        <w:top w:val="none" w:sz="0" w:space="0" w:color="auto"/>
        <w:left w:val="none" w:sz="0" w:space="0" w:color="auto"/>
        <w:bottom w:val="none" w:sz="0" w:space="0" w:color="auto"/>
        <w:right w:val="none" w:sz="0" w:space="0" w:color="auto"/>
      </w:divBdr>
    </w:div>
    <w:div w:id="1029768476">
      <w:bodyDiv w:val="1"/>
      <w:marLeft w:val="0"/>
      <w:marRight w:val="0"/>
      <w:marTop w:val="0"/>
      <w:marBottom w:val="0"/>
      <w:divBdr>
        <w:top w:val="none" w:sz="0" w:space="0" w:color="auto"/>
        <w:left w:val="none" w:sz="0" w:space="0" w:color="auto"/>
        <w:bottom w:val="none" w:sz="0" w:space="0" w:color="auto"/>
        <w:right w:val="none" w:sz="0" w:space="0" w:color="auto"/>
      </w:divBdr>
    </w:div>
    <w:div w:id="103692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l.wikipedia.org/wiki/%CE%91%CF%81%CF%87%CE%B5%CE%AF%CE%BF:Astinomia_Kyprou.sv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A7576-08A6-4B11-996A-B79648A8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Links>
    <vt:vector size="6" baseType="variant">
      <vt:variant>
        <vt:i4>5505134</vt:i4>
      </vt:variant>
      <vt:variant>
        <vt:i4>-1</vt:i4>
      </vt:variant>
      <vt:variant>
        <vt:i4>1036</vt:i4>
      </vt:variant>
      <vt:variant>
        <vt:i4>4</vt:i4>
      </vt:variant>
      <vt:variant>
        <vt:lpwstr>http://el.wikipedia.org/wiki/%CE%91%CF%81%CF%87%CE%B5%CE%AF%CE%BF:Astinomia_Kyprou.svg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police</dc:creator>
  <cp:keywords/>
  <dc:description/>
  <cp:lastModifiedBy>Administrator</cp:lastModifiedBy>
  <cp:revision>2</cp:revision>
  <cp:lastPrinted>2021-03-26T12:18:00Z</cp:lastPrinted>
  <dcterms:created xsi:type="dcterms:W3CDTF">2022-10-04T08:11:00Z</dcterms:created>
  <dcterms:modified xsi:type="dcterms:W3CDTF">2022-10-04T08:11:00Z</dcterms:modified>
</cp:coreProperties>
</file>